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true"/>
        <w:bidi w:val="0"/>
        <w:ind w:left="0" w:right="0" w:firstLine="11"/>
        <w:jc w:val="left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 xml:space="preserve">Приложение № ____ к договору генподряда </w:t>
        <w:br/>
        <w:t xml:space="preserve">       </w:t>
        <w:tab/>
        <w:tab/>
        <w:tab/>
        <w:tab/>
        <w:tab/>
        <w:tab/>
        <w:tab/>
        <w:tab/>
        <w:tab/>
        <w:tab/>
        <w:tab/>
        <w:t>от «___» ____________202__г. № _________</w:t>
      </w:r>
    </w:p>
    <w:p>
      <w:pPr>
        <w:pStyle w:val="Normal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overflowPunct w:val="true"/>
        <w:bidi w:val="0"/>
        <w:ind w:left="0" w:right="0" w:firstLine="11"/>
        <w:jc w:val="left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120" w:after="120"/>
        <w:contextualSpacing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СКС-2021-ХВ-ИП-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6.1.19.1-11</w:t>
      </w:r>
      <w:r>
        <w:rPr>
          <w:b/>
          <w:sz w:val="24"/>
          <w:szCs w:val="24"/>
        </w:rPr>
        <w:br/>
      </w:r>
      <w:r>
        <w:rPr>
          <w:rFonts w:eastAsia="Times New Roman" w:cs="Tahoma"/>
          <w:b/>
          <w:bCs/>
          <w:color w:val="000000"/>
          <w:sz w:val="24"/>
          <w:szCs w:val="24"/>
          <w:lang w:val="ru-RU" w:eastAsia="ru-RU" w:bidi="ar-SA"/>
        </w:rPr>
        <w:t>по о</w:t>
      </w:r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бъекту </w:t>
      </w:r>
      <w:bookmarkStart w:id="0" w:name="__DdeLink__895_1242358480"/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«Строительство сетей водоснабжения для обеспечения мероприятий по подключению объектов капстроительства к системам водоснабжения: </w:t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«</w:t>
      </w: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Торгово-офисный центр «Захар», расположенный по адресу: г. Самара, Октябрьский район, ул. Ново-Садовая, 106»</w:t>
      </w:r>
      <w:bookmarkEnd w:id="0"/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9611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616"/>
        <w:gridCol w:w="2716"/>
        <w:gridCol w:w="6279"/>
      </w:tblGrid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color w:val="00000A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Договор о подключении (технологическом присоединении) к централизованной системе водоснабжения объектов капитального строительства</w:t>
            </w:r>
          </w:p>
        </w:tc>
      </w:tr>
      <w:tr>
        <w:trPr>
          <w:trHeight w:val="441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Проектная документация; 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 на технологические и конструктивные решения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 — 1.2.3 к настоящему Заданию на проектирование (далее —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76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г. Самара, 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Октябрьский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 район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Схема места положения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проектируемых сетей водоснабжения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прилагается (Приложение №1.2.2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в том числе  технических условий, кадастровых выписок,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действия в объеме, необходимом для выполнения, согласования инженерных изысканий, разработки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разработки, согласования документации и получения заключения экспертизы результатов инженерных изысканий и проектно-сметной документации (далее — экспертиза).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 начала проектирования проработать основные проектные решения (далее - ОПР),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6.2.1 Определить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с учетом действующего законодательства РФ,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с учетом существующей градостроительной ситуации (в том числе наличия прав третьих лиц), с учетом места расположения внутренних и внутриплощадочных сетей объекта подключения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трассу сетей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способ производства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6.2.2 Разработать схему с указанием границ и площадей занимаемого на время строительства земельного участка, в том числе по землям третьих лиц.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6.2.3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3"/>
                <w:szCs w:val="23"/>
                <w:lang w:val="ru-RU" w:eastAsia="ru-RU" w:bidi="ar-SA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подбор (с технико-экономическим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Единой технической политики АО «РКС-Менеджмент» (Приложения №1.1.2 и №1.1.3 к настоящему ЗП).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</w:t>
            </w:r>
            <w:bookmarkStart w:id="1" w:name="__DdeLink__6056_1166444295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целью выбора для дальнейшего проектирования основных проектных решений предоставить  ориентировочные затраты на их реализацию (с обоснованием затрат)</w:t>
            </w:r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, в том числе: с учетом получения согласований, экспертиз и всех документов и осуществлением всех действий, необходимых для разработки документации с получением положительного заключения экспертизы.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Заказчику с целью их рассмотрения и согласования для дальнейшего проектирования.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eastAsia="Arial"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>6.3. Выполнить в соответствии с нормативно-техническими требованиями, с учетом степени изученности территории, наличия изысканий инженерно-геодезические, инженерно-геологические изыскания в объеме, необходимом для разработки схемы границ предполагаемых к использованию земель, проектирования  сетей водоснабжения и сооружений на них.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6.4. При наличии по проектируемой трассе зеленых насаждений указать контуры древесной растительности и отдельно стоящие деревья (нанести породу дерева, диаметр).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6.5. На съемке нанести и обновить все существующие подземные и надземные сооружения и коммуникации с указанием всех характеристик, в том числе: глубины или высоты их заложения, типа коммуникаций, диаметра, материала исполнения, глубины близлежащих колодцев с указанием отметки дна колодца и отметки верха трубы, находящейся в этом колодце.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6.6. На съемке и плане сетей нанести границы всех попадающих в зону проектирования земельных участков, в том числе стоящих на кадастре с указанием кадастрового номера.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6.7. На съемке указать существующие и вновь закладываемые в районе объекта строительства реперы (на капитальном объекте, не подлежащем демонтажу с привязками к местности).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дать их в натуре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6.8. </w:t>
            </w:r>
            <w:r>
              <w:rPr>
                <w:rFonts w:eastAsia="Arial" w:cs="Tahoma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Выполнить согласование результатов инженерных изысканий с соответствующими заинтересованными третьими лицами, эксплуатационными и государственными организациями, в том числе с Департаментом градостроительства г.о. Самара. Подлинники согласований предоставить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6.9.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в системе координат, используемой для ведения</w:t>
            </w:r>
            <w:bookmarkStart w:id="2" w:name="P0269111"/>
            <w:bookmarkEnd w:id="2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6.10.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проектную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документацию для строительства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-получения заключения экспертизы;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6.11.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 составе проектной документации разработать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-проект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-ведомости объемов работ;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-сметную документацию,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том числе сводный сметный расчет (далее – ССР);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6.12. В дополнение к проектной документации выполнить рабочую документацию на технологические и конструктивные решения устройства сетей водоснабжения и сооружений на них в объеме, необходимом для производства работ.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6.13.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и спецификации оборудования и материалов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6.14.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согласование проектной/рабочей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 города,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проектируемой трассы сетей и сооружений на них, с Департаментом градостроительства г.о. Самара; с Заказчиком объекта подключения — в части «увязки» проектируемых сетей с внутренними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сетями объекта подключения.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6.15.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Направить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документацию до ее передачи на экспертизу для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sz w:val="24"/>
                <w:szCs w:val="24"/>
              </w:rPr>
              <w:t>получения согласия на прохождение экспертизы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6.16. Провести экспертизу результатов инженерных изысканий и проектно-сметной документации и получить положительное заключение экспертизы с внесением его в рееестр экспертиз.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6.17.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АО «РКС-Менеджмент»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по требованию организации, выигравшей конкурс).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одопроводные линии 2Дн-250 мм общей протяженностью ориентировочно 115 м. 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9.2. Пожарные гидранты — по нормам.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9.5. Размер нагрузки объекта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подключения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 составляет 37,41 м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em w:val="none"/>
                <w:lang w:val="ru-RU" w:eastAsia="zh-CN" w:bidi="ar-SA"/>
              </w:rPr>
              <w:t>3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/сут.; пожаротушение: наружное — 35 л/с, внутренне — 5 л/с, автоматическое — 40 л/с.</w:t>
            </w:r>
          </w:p>
          <w:p>
            <w:pPr>
              <w:pStyle w:val="BodyTextIndent2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>Получить необходимые для выполнения работы исходные и дополнительные данные, в том числе технические условия, кадастровые выписки; согласовать документацию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провести экспертизу результатов инженерных изысканий, проектно-сметной документации с получением положительного заключения экспертизы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с внесением заключения экспертизы в реестр экспертиз.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10.2. До начала проектирования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выполнить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ОПР, согласовать их с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. 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ресурсную ведомость материалов и  оборудования, включенных в смету на выполнение строительно-монтажных работ, и спецификации оборудования и материалов с разделением 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10.5.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Направить Заказчику на рассмотрение документацию до передачи ее на экспертизу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получения согласия на  прохождение экспертизы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кспертизу и все необходимые согласования  документации с заинтересованными и эксплуатирующими сетевыми организациями, органами местного самоуправления,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10.8.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согласовании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10.9.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10.10.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 случае получения отрицательного заключения экспертизы корректировка документации, а также проведение повторной экспертизы осуществляется за счет Генподрядчика.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10.11.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 собственными силами и/или организовывает и координирует работу, в том числе по проведению инженерных изысканий, субподрядных организаций, а так же несет ответственность за достоверность, качество и полноту выполненных инженерных изысканий,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В случае ненадлежащего составления проекта и выполнения изыскательских работ,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 и данных изыскательских работ,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10.14.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10.15.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С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выполнить в системе координат, используемой для ведения</w:t>
            </w:r>
            <w:bookmarkStart w:id="3" w:name="P02691111111"/>
            <w:bookmarkEnd w:id="3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Документацию для строительства водопроводов и сооружений на них для технологического присоединения объекта капитального строительства к централизованным системам холодного водоснабжения разработать с учетом требований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нормативно-техническими документами и требованиями, действующими на момент выдачи документации Заказчику, а так же с учетом существующей градостроительной ситуации и на основе выполненных инженерных изысканий, выданных и полученных технических условий и настоящего ЗП.</w:t>
            </w:r>
          </w:p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12.3.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АО «РКС-Менеджмент»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>наиболее подходящий вариант с учетом экономической эффективности строительства и последующей эксплуатации.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12.4. Разработать документацию для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строительства: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-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 в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</w:rPr>
              <w:t>одопровода Дн-250 мм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от водовода Д-400 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по ул. Ново-Садовая,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- 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в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одопровода Дн-250 мм от водовода Д-1200 по ул. Ново-Садовая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>общей протяженностью ориентировочно 115 м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12.5.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Рассмотреть возможность применения метода бесколодезной установки запорной арматуры и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>
                <w:rFonts w:eastAsia="Arial" w:cs="Tahoma"/>
                <w:bCs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>12.6. Предусмотреть установку пожарных гидрантов в соответствии с нормативными требованиями.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12.7.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Проектные решения по устройству водопроводов «увязать» с внутренними водопроводными сетями.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ru-RU" w:bidi="ar-SA"/>
              </w:rPr>
              <w:t xml:space="preserve">12.8.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12.9. 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12.10. 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en-US" w:bidi="ar-SA"/>
              </w:rPr>
              <w:t>3-2015).</w:t>
            </w:r>
            <w:bookmarkStart w:id="4" w:name="__DdeLink__4934_984431242"/>
            <w:bookmarkEnd w:id="4"/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эксплуатация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overflowPunct w:val="true"/>
              <w:bidi w:val="0"/>
              <w:spacing w:before="57" w:after="0"/>
              <w:ind w:left="57" w:right="0" w:hanging="0"/>
              <w:jc w:val="left"/>
              <w:rPr/>
            </w:pPr>
            <w:r>
              <w:rPr/>
              <w:t>Не требуется</w:t>
            </w:r>
          </w:p>
        </w:tc>
      </w:tr>
      <w:tr>
        <w:trPr>
          <w:trHeight w:val="870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51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PlainText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.+7(846)336-14-02, </w:t>
            </w:r>
            <w:r>
              <w:rPr>
                <w:i w:val="false"/>
                <w:iCs w:val="false"/>
                <w:sz w:val="24"/>
                <w:szCs w:val="24"/>
              </w:rPr>
              <w:t>факс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 +7(846)336-89-05</w:t>
            </w:r>
          </w:p>
        </w:tc>
      </w:tr>
      <w:tr>
        <w:trPr>
          <w:trHeight w:val="603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требуются.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3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при необходимости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ОПР, их согласование с Заказчиком;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отчеты по результатам инженерн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изысканий для проектирования сетей водоснабжения для присоединения объекта капитального строительства;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5" w:name="P0269112"/>
            <w:bookmarkEnd w:id="5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 с сетевыми и другими необходимыми/ заинтересованными организациями, лицами, в том числе с собственниками земельных участков, по которым возможно будет прохождение проектируемой трассы сетей и сооружений на них, с государственными органами, в том числе с Департаментом градостроительства г.о. Самара; с Заказчиком объекта подключения в части «увязки» сетей;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положительное заключение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экспертизы результатов инженерных изысканий и проектно-сметной документации, включенное в реестр экспертиз проектной документации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В случае получения отрицательного заключения экспертизы расходы на ее повторное проведение возлагаются на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одрядчика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Проектные спецификации по всем разделам выдать в том числе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После получения положительного заключения экспертизы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результатов инженерных изысканий и проектно-сметной 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документации Генподрядчик передает отчеты по результатам инженерных изысканий,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подлинники всех полученных исходных и дополнительных данных, заключение экспертизы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4-х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6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6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7" w:name="__DdeLink__10307_545458976"/>
            <w:bookmarkStart w:id="8" w:name="__DdeLink__1651_388564675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7"/>
            <w:bookmarkEnd w:id="8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 маркировка с указанием: наименование и тип документации, Заказчика, Исполнителя, даты изготовления электронной версии, порядкового номера 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флеш-накопителя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флеш-накопитель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9" w:name="_GoBack"/>
            <w:bookmarkEnd w:id="9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данные, заключение экспертизы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материалов, опросные листы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bookmarkStart w:id="10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10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Заключение экспертизы выдать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выдать в том числе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в электронном виде в формате PDF.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6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7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2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28" w:after="0"/>
              <w:ind w:left="28" w:right="28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/>
          <w:b/>
          <w:bCs/>
          <w:i w:val="false"/>
          <w:i w:val="false"/>
          <w:iCs w:val="false"/>
          <w:color w:val="00000A"/>
          <w:sz w:val="24"/>
          <w:szCs w:val="24"/>
          <w:u w:val="single"/>
        </w:rPr>
      </w:pP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single"/>
        </w:rPr>
        <w:t>Приложения: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№ТУ-05-0249 от 10.03.2021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11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проектируем</w:t>
      </w:r>
      <w:bookmarkEnd w:id="11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ых  водопроводных сетей.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Приложение №1.2.3 Выписка из ЕГРН об объекте недвижимости от ноября 2020 (разделы 1,2,5,5.1).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28" w:after="28"/>
        <w:ind w:left="57" w:right="57" w:hanging="0"/>
        <w:jc w:val="both"/>
        <w:rPr/>
      </w:pPr>
      <w:bookmarkStart w:id="12" w:name="__DdeLink__4679_3386870990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Заказчик объекта подключения — Акционерное общество «Инвест-ЗиМ» (АО «Инвест-ЗиМ»), Карпов Дмитрий Викторович, тел.8 (937) 178-21-</w:t>
      </w:r>
      <w:bookmarkEnd w:id="12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34.</w:t>
      </w:r>
    </w:p>
    <w:p>
      <w:pPr>
        <w:pStyle w:val="ConsPlusNormal"/>
        <w:widowControl w:val="false"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4"/>
          <w:szCs w:val="24"/>
          <w:highlight w:val="white"/>
          <w:u w:val="none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19"/>
        <w:keepLines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cs="Tahoma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>
                <w:rFonts w:ascii="Times New Roman" w:hAnsi="Times New Roman" w:eastAsia="Times New Roman"/>
                <w:b/>
                <w:b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lang w:val="ru-RU" w:eastAsia="ru-RU"/>
              </w:rPr>
            </w:pPr>
            <w:r>
              <w:rPr>
                <w:rFonts w:eastAsia="Times New Roman" w:cs="Tahoma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</w:t>
              <w:tab/>
              <w:t xml:space="preserve">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eastAsia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 xml:space="preserve">                                                 (Ф.И.О.)</w:t>
            </w:r>
          </w:p>
        </w:tc>
      </w:tr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77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408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408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true"/>
      <w:bidi w:val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408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408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408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true"/>
      <w:bidi w:val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408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408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tru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tru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true"/>
      <w:bidi w:val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408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408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408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tru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tru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Application>LibreOffice/6.3.0.4$Windows_X86_64 LibreOffice_project/057fc023c990d676a43019934386b85b21a9ee99</Application>
  <Pages>12</Pages>
  <Words>3143</Words>
  <Characters>23526</Characters>
  <CharactersWithSpaces>26818</CharactersWithSpaces>
  <Paragraphs>252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2020-08-10T08:46:19Z</cp:lastPrinted>
  <dcterms:modified xsi:type="dcterms:W3CDTF">2021-04-22T11:13:49Z</dcterms:modified>
  <cp:revision>161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